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F001B" w14:textId="0ECB3F9C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cs="Open Sans"/>
          <w:noProof/>
          <w:color w:val="000000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0E80C675" wp14:editId="5AC79A69">
            <wp:simplePos x="0" y="0"/>
            <wp:positionH relativeFrom="margin">
              <wp:align>center</wp:align>
            </wp:positionH>
            <wp:positionV relativeFrom="paragraph">
              <wp:posOffset>203</wp:posOffset>
            </wp:positionV>
            <wp:extent cx="709752" cy="709752"/>
            <wp:effectExtent l="0" t="0" r="0" b="0"/>
            <wp:wrapThrough wrapText="bothSides">
              <wp:wrapPolygon edited="0">
                <wp:start x="8122" y="0"/>
                <wp:lineTo x="2901" y="1740"/>
                <wp:lineTo x="580" y="7542"/>
                <wp:lineTo x="0" y="13343"/>
                <wp:lineTo x="0" y="15663"/>
                <wp:lineTo x="1740" y="18564"/>
                <wp:lineTo x="5801" y="20885"/>
                <wp:lineTo x="6962" y="20885"/>
                <wp:lineTo x="13923" y="20885"/>
                <wp:lineTo x="14503" y="20885"/>
                <wp:lineTo x="18564" y="18564"/>
                <wp:lineTo x="20885" y="15663"/>
                <wp:lineTo x="20304" y="6381"/>
                <wp:lineTo x="18564" y="3481"/>
                <wp:lineTo x="13343" y="0"/>
                <wp:lineTo x="8122" y="0"/>
              </wp:wrapPolygon>
            </wp:wrapThrough>
            <wp:docPr id="1" name="Imagem 1" descr="C:\Users\07308978699\AppData\Local\Microsoft\Windows\INetCache\Content.MSO\988D12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7308978699\AppData\Local\Microsoft\Windows\INetCache\Content.MSO\988D123C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52" cy="70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68FB9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6B261D5C" w14:textId="77777777" w:rsidR="006C75FD" w:rsidRDefault="006C75FD" w:rsidP="0043638C">
      <w:pPr>
        <w:jc w:val="center"/>
        <w:rPr>
          <w:rFonts w:cs="Open Sans"/>
          <w:color w:val="000000"/>
          <w:sz w:val="24"/>
          <w:szCs w:val="24"/>
          <w:shd w:val="clear" w:color="auto" w:fill="FFFFFF"/>
        </w:rPr>
      </w:pPr>
    </w:p>
    <w:p w14:paraId="05B3457D" w14:textId="7608B989" w:rsidR="00ED6C65" w:rsidRPr="006C75FD" w:rsidRDefault="00A973A8" w:rsidP="0043638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ORIENTAÇÃO TÉCNICA Nº </w:t>
      </w:r>
      <w:r w:rsidR="00FF49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XXX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DE </w:t>
      </w:r>
      <w:r w:rsidR="00FF49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17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DE </w:t>
      </w:r>
      <w:r w:rsidR="00FF49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SETEMBRO</w:t>
      </w:r>
      <w:r w:rsidRPr="006C75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DE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2018</w:t>
      </w:r>
    </w:p>
    <w:p w14:paraId="497D92B1" w14:textId="77777777" w:rsidR="00ED6C65" w:rsidRPr="006C75FD" w:rsidRDefault="00ED6C65" w:rsidP="00A81B0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17178AC" w14:textId="6E687B96" w:rsidR="00CF2E54" w:rsidRDefault="00A81B04" w:rsidP="00422C25">
      <w:pPr>
        <w:ind w:left="1416" w:firstLine="708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bookmarkStart w:id="1" w:name="_Hlk513639541"/>
      <w:r w:rsidRPr="00A973A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Esclarece </w:t>
      </w:r>
      <w:r w:rsidR="00A973A8" w:rsidRPr="00A973A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o significado do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</w:t>
      </w:r>
      <w:r w:rsidR="00A973A8" w:rsidRPr="00A973A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termo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 “envio” e</w:t>
      </w:r>
      <w:r w:rsidR="00A973A8" w:rsidRPr="00A973A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“</w:t>
      </w:r>
      <w:r w:rsidR="00FB755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remessa</w:t>
      </w:r>
      <w:r w:rsidR="00A973A8" w:rsidRPr="00A973A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”</w:t>
      </w:r>
      <w:bookmarkEnd w:id="1"/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a que se refere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o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inciso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XIII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e XXX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do art. 2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º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e os incisos IV e V do art. 12 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da 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L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ei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nº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13.123, de 20 de maio de 2015</w:t>
      </w:r>
      <w:r w:rsidR="00422C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combinado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com a alínea b) do inciso II do art. </w:t>
      </w:r>
      <w:r w:rsidR="003621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24 e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B670F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a alínea b) do inciso II do art. 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25 do 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ecreto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nº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8</w:t>
      </w:r>
      <w:r w:rsidR="00242D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093C8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772, de 11 de maio de 2016. </w:t>
      </w:r>
    </w:p>
    <w:p w14:paraId="292F5FAA" w14:textId="77777777" w:rsidR="0043638C" w:rsidRPr="006C75FD" w:rsidRDefault="0043638C" w:rsidP="00F27963">
      <w:pPr>
        <w:ind w:left="1416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6E31227" w14:textId="12C51540" w:rsidR="00A973A8" w:rsidRDefault="0043638C" w:rsidP="00A564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73A8">
        <w:rPr>
          <w:rFonts w:ascii="Times New Roman" w:hAnsi="Times New Roman" w:cs="Times New Roman"/>
          <w:b/>
          <w:sz w:val="24"/>
          <w:szCs w:val="24"/>
        </w:rPr>
        <w:t>O CONSELHO DE GESTÃO DO PATRIMÔNIO GENÉTICO - CGen</w:t>
      </w:r>
      <w:r w:rsidRPr="006C75FD">
        <w:rPr>
          <w:rFonts w:ascii="Times New Roman" w:hAnsi="Times New Roman" w:cs="Times New Roman"/>
          <w:sz w:val="24"/>
          <w:szCs w:val="24"/>
        </w:rPr>
        <w:t>, no uso das atribuições que lhe conferem a Lei nº 13.123, de 20 de maio de 2015, e o Decreto nº 8.772, de 11 de maio de 2016, e tendo em vista o disposto no seu Regimento Interno, anexo à Portaria MMA nº 427, de 29 de setembro de 2016, resolve:</w:t>
      </w:r>
    </w:p>
    <w:p w14:paraId="1ED811C1" w14:textId="2E0FBA06" w:rsidR="00311091" w:rsidRDefault="00A81B04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5FD">
        <w:rPr>
          <w:rFonts w:ascii="Times New Roman" w:hAnsi="Times New Roman" w:cs="Times New Roman"/>
          <w:sz w:val="24"/>
          <w:szCs w:val="24"/>
        </w:rPr>
        <w:t xml:space="preserve">Art. 1º </w:t>
      </w:r>
      <w:r w:rsidR="00A973A8">
        <w:rPr>
          <w:rFonts w:ascii="Times New Roman" w:hAnsi="Times New Roman" w:cs="Times New Roman"/>
          <w:sz w:val="24"/>
          <w:szCs w:val="24"/>
        </w:rPr>
        <w:t>Para fins de aplicação do disposto n</w:t>
      </w:r>
      <w:r w:rsidR="00F82D1B">
        <w:rPr>
          <w:rFonts w:ascii="Times New Roman" w:hAnsi="Times New Roman" w:cs="Times New Roman"/>
          <w:sz w:val="24"/>
          <w:szCs w:val="24"/>
        </w:rPr>
        <w:t>o art. 25 do Decreto 8</w:t>
      </w:r>
      <w:r w:rsidR="00422C25">
        <w:rPr>
          <w:rFonts w:ascii="Times New Roman" w:hAnsi="Times New Roman" w:cs="Times New Roman"/>
          <w:sz w:val="24"/>
          <w:szCs w:val="24"/>
        </w:rPr>
        <w:t>.</w:t>
      </w:r>
      <w:r w:rsidR="00F82D1B">
        <w:rPr>
          <w:rFonts w:ascii="Times New Roman" w:hAnsi="Times New Roman" w:cs="Times New Roman"/>
          <w:sz w:val="24"/>
          <w:szCs w:val="24"/>
        </w:rPr>
        <w:t>772</w:t>
      </w:r>
      <w:r w:rsidR="00422C25">
        <w:rPr>
          <w:rFonts w:ascii="Times New Roman" w:hAnsi="Times New Roman" w:cs="Times New Roman"/>
          <w:sz w:val="24"/>
          <w:szCs w:val="24"/>
        </w:rPr>
        <w:t xml:space="preserve">, de 11 de maio de </w:t>
      </w:r>
      <w:r w:rsidR="00F82D1B">
        <w:rPr>
          <w:rFonts w:ascii="Times New Roman" w:hAnsi="Times New Roman" w:cs="Times New Roman"/>
          <w:sz w:val="24"/>
          <w:szCs w:val="24"/>
        </w:rPr>
        <w:t>2016</w:t>
      </w:r>
      <w:r w:rsidR="00422C25">
        <w:rPr>
          <w:rFonts w:ascii="Times New Roman" w:hAnsi="Times New Roman" w:cs="Times New Roman"/>
          <w:sz w:val="24"/>
          <w:szCs w:val="24"/>
        </w:rPr>
        <w:t>,</w:t>
      </w:r>
      <w:r w:rsidR="00F82D1B">
        <w:rPr>
          <w:rFonts w:ascii="Times New Roman" w:hAnsi="Times New Roman" w:cs="Times New Roman"/>
          <w:sz w:val="24"/>
          <w:szCs w:val="24"/>
        </w:rPr>
        <w:t xml:space="preserve"> </w:t>
      </w:r>
      <w:r w:rsidR="00A564B2">
        <w:rPr>
          <w:rFonts w:ascii="Times New Roman" w:hAnsi="Times New Roman" w:cs="Times New Roman"/>
          <w:sz w:val="24"/>
          <w:szCs w:val="24"/>
        </w:rPr>
        <w:t xml:space="preserve">entende-se como </w:t>
      </w:r>
      <w:r w:rsidR="00F82D1B">
        <w:rPr>
          <w:rFonts w:ascii="Times New Roman" w:hAnsi="Times New Roman" w:cs="Times New Roman"/>
          <w:sz w:val="24"/>
          <w:szCs w:val="24"/>
        </w:rPr>
        <w:t>remessa</w:t>
      </w:r>
      <w:r w:rsidR="00A564B2">
        <w:rPr>
          <w:rFonts w:ascii="Times New Roman" w:hAnsi="Times New Roman" w:cs="Times New Roman"/>
          <w:sz w:val="24"/>
          <w:szCs w:val="24"/>
        </w:rPr>
        <w:t xml:space="preserve"> </w:t>
      </w:r>
      <w:r w:rsidR="00F82D1B">
        <w:rPr>
          <w:rFonts w:ascii="Times New Roman" w:hAnsi="Times New Roman" w:cs="Times New Roman"/>
          <w:sz w:val="24"/>
          <w:szCs w:val="24"/>
        </w:rPr>
        <w:t xml:space="preserve">a transferência de amostra de patrimônio genético </w:t>
      </w:r>
      <w:r w:rsidR="006D7F4D">
        <w:rPr>
          <w:rFonts w:ascii="Times New Roman" w:hAnsi="Times New Roman" w:cs="Times New Roman"/>
          <w:sz w:val="24"/>
          <w:szCs w:val="24"/>
        </w:rPr>
        <w:t xml:space="preserve">que se enquadre </w:t>
      </w:r>
      <w:r w:rsidR="00F82D1B">
        <w:rPr>
          <w:rFonts w:ascii="Times New Roman" w:hAnsi="Times New Roman" w:cs="Times New Roman"/>
          <w:sz w:val="24"/>
          <w:szCs w:val="24"/>
        </w:rPr>
        <w:t xml:space="preserve">nas condições listadas na </w:t>
      </w:r>
      <w:r w:rsidR="00F82D1B" w:rsidRPr="00A564B2">
        <w:rPr>
          <w:rFonts w:ascii="Times New Roman" w:hAnsi="Times New Roman" w:cs="Times New Roman"/>
          <w:sz w:val="24"/>
          <w:szCs w:val="24"/>
        </w:rPr>
        <w:t xml:space="preserve">alínea b) do inciso II do art. 25 do </w:t>
      </w:r>
      <w:r w:rsidR="004F1CBD">
        <w:rPr>
          <w:rFonts w:ascii="Times New Roman" w:hAnsi="Times New Roman" w:cs="Times New Roman"/>
          <w:sz w:val="24"/>
          <w:szCs w:val="24"/>
        </w:rPr>
        <w:t>D</w:t>
      </w:r>
      <w:r w:rsidR="00F82D1B" w:rsidRPr="00A564B2">
        <w:rPr>
          <w:rFonts w:ascii="Times New Roman" w:hAnsi="Times New Roman" w:cs="Times New Roman"/>
          <w:sz w:val="24"/>
          <w:szCs w:val="24"/>
        </w:rPr>
        <w:t>ecreto</w:t>
      </w:r>
      <w:r w:rsidR="004F1CBD">
        <w:rPr>
          <w:rFonts w:ascii="Times New Roman" w:hAnsi="Times New Roman" w:cs="Times New Roman"/>
          <w:sz w:val="24"/>
          <w:szCs w:val="24"/>
        </w:rPr>
        <w:t xml:space="preserve"> nº</w:t>
      </w:r>
      <w:r w:rsidR="00F82D1B" w:rsidRPr="00A564B2">
        <w:rPr>
          <w:rFonts w:ascii="Times New Roman" w:hAnsi="Times New Roman" w:cs="Times New Roman"/>
          <w:sz w:val="24"/>
          <w:szCs w:val="24"/>
        </w:rPr>
        <w:t xml:space="preserve"> 8</w:t>
      </w:r>
      <w:r w:rsidR="00422C25">
        <w:rPr>
          <w:rFonts w:ascii="Times New Roman" w:hAnsi="Times New Roman" w:cs="Times New Roman"/>
          <w:sz w:val="24"/>
          <w:szCs w:val="24"/>
        </w:rPr>
        <w:t>.</w:t>
      </w:r>
      <w:r w:rsidR="00F82D1B" w:rsidRPr="00A564B2">
        <w:rPr>
          <w:rFonts w:ascii="Times New Roman" w:hAnsi="Times New Roman" w:cs="Times New Roman"/>
          <w:sz w:val="24"/>
          <w:szCs w:val="24"/>
        </w:rPr>
        <w:t>772, de 11 de maio de 2016</w:t>
      </w:r>
      <w:r w:rsidR="00A564B2" w:rsidRPr="00A564B2">
        <w:rPr>
          <w:rFonts w:ascii="Times New Roman" w:hAnsi="Times New Roman" w:cs="Times New Roman"/>
          <w:sz w:val="24"/>
          <w:szCs w:val="24"/>
        </w:rPr>
        <w:t>,</w:t>
      </w:r>
      <w:r w:rsidR="00422C25">
        <w:rPr>
          <w:rFonts w:ascii="Times New Roman" w:hAnsi="Times New Roman" w:cs="Times New Roman"/>
          <w:sz w:val="24"/>
          <w:szCs w:val="24"/>
        </w:rPr>
        <w:t xml:space="preserve"> </w:t>
      </w:r>
      <w:r w:rsidR="00045636">
        <w:rPr>
          <w:rFonts w:ascii="Times New Roman" w:hAnsi="Times New Roman" w:cs="Times New Roman"/>
          <w:sz w:val="24"/>
          <w:szCs w:val="24"/>
        </w:rPr>
        <w:t>que trata das informações sobre volume ou peso.</w:t>
      </w:r>
    </w:p>
    <w:p w14:paraId="4251037B" w14:textId="0E2E06B9" w:rsidR="00242D9B" w:rsidRDefault="003621BD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5FD">
        <w:rPr>
          <w:rFonts w:ascii="Times New Roman" w:hAnsi="Times New Roman" w:cs="Times New Roman"/>
          <w:sz w:val="24"/>
          <w:szCs w:val="24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75FD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Para fins de aplicação do disposto no art. 24 do Decreto 8.772, de 11 de maio de 2016, entende-se como envio a transferência de amostra de patrimônio genético que se enquadre nas condições listadas na </w:t>
      </w:r>
      <w:r w:rsidRPr="00A564B2">
        <w:rPr>
          <w:rFonts w:ascii="Times New Roman" w:hAnsi="Times New Roman" w:cs="Times New Roman"/>
          <w:sz w:val="24"/>
          <w:szCs w:val="24"/>
        </w:rPr>
        <w:t>alínea b) do inciso II do art.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64B2">
        <w:rPr>
          <w:rFonts w:ascii="Times New Roman" w:hAnsi="Times New Roman" w:cs="Times New Roman"/>
          <w:sz w:val="24"/>
          <w:szCs w:val="24"/>
        </w:rPr>
        <w:t xml:space="preserve"> do </w:t>
      </w:r>
      <w:r w:rsidR="004F1CBD">
        <w:rPr>
          <w:rFonts w:ascii="Times New Roman" w:hAnsi="Times New Roman" w:cs="Times New Roman"/>
          <w:sz w:val="24"/>
          <w:szCs w:val="24"/>
        </w:rPr>
        <w:t>D</w:t>
      </w:r>
      <w:r w:rsidRPr="00A564B2">
        <w:rPr>
          <w:rFonts w:ascii="Times New Roman" w:hAnsi="Times New Roman" w:cs="Times New Roman"/>
          <w:sz w:val="24"/>
          <w:szCs w:val="24"/>
        </w:rPr>
        <w:t xml:space="preserve">ecreto </w:t>
      </w:r>
      <w:r w:rsidR="004F1CBD">
        <w:rPr>
          <w:rFonts w:ascii="Times New Roman" w:hAnsi="Times New Roman" w:cs="Times New Roman"/>
          <w:sz w:val="24"/>
          <w:szCs w:val="24"/>
        </w:rPr>
        <w:t xml:space="preserve">nº </w:t>
      </w:r>
      <w:r w:rsidRPr="00A564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564B2">
        <w:rPr>
          <w:rFonts w:ascii="Times New Roman" w:hAnsi="Times New Roman" w:cs="Times New Roman"/>
          <w:sz w:val="24"/>
          <w:szCs w:val="24"/>
        </w:rPr>
        <w:t>772, de 11 de maio de 2016,</w:t>
      </w:r>
      <w:r>
        <w:rPr>
          <w:rFonts w:ascii="Times New Roman" w:hAnsi="Times New Roman" w:cs="Times New Roman"/>
          <w:sz w:val="24"/>
          <w:szCs w:val="24"/>
        </w:rPr>
        <w:t xml:space="preserve"> que trata das informações sobre volume ou peso.</w:t>
      </w:r>
      <w:r w:rsidR="00ED6C65" w:rsidRPr="006C75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00970" w14:textId="776D22B3" w:rsidR="00ED6C65" w:rsidRDefault="00242D9B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5FD">
        <w:rPr>
          <w:rFonts w:ascii="Times New Roman" w:hAnsi="Times New Roman" w:cs="Times New Roman"/>
          <w:sz w:val="24"/>
          <w:szCs w:val="24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C75FD">
        <w:rPr>
          <w:rFonts w:ascii="Times New Roman" w:hAnsi="Times New Roman" w:cs="Times New Roman"/>
          <w:sz w:val="24"/>
          <w:szCs w:val="24"/>
        </w:rPr>
        <w:t xml:space="preserve">º </w:t>
      </w:r>
      <w:r w:rsidR="00ED6C65" w:rsidRPr="006C75FD">
        <w:rPr>
          <w:rFonts w:ascii="Times New Roman" w:hAnsi="Times New Roman" w:cs="Times New Roman"/>
          <w:sz w:val="24"/>
          <w:szCs w:val="24"/>
        </w:rPr>
        <w:t>Esta Orientação Técnica entra em vigor na data de sua publicação.</w:t>
      </w:r>
    </w:p>
    <w:p w14:paraId="4D345B0D" w14:textId="6C95F27D" w:rsidR="00D35D0E" w:rsidRDefault="00D35D0E" w:rsidP="00A973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848D69" w14:textId="3C46CD79" w:rsidR="00D35D0E" w:rsidRPr="00D35D0E" w:rsidRDefault="00D35D0E" w:rsidP="00D35D0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0E">
        <w:rPr>
          <w:rFonts w:ascii="Times New Roman" w:hAnsi="Times New Roman" w:cs="Times New Roman"/>
          <w:b/>
          <w:sz w:val="24"/>
          <w:szCs w:val="24"/>
        </w:rPr>
        <w:t>RAFAEL DE SÁ MARQUES</w:t>
      </w:r>
    </w:p>
    <w:p w14:paraId="0345783F" w14:textId="360589F2" w:rsidR="00D35D0E" w:rsidRDefault="00D35D0E" w:rsidP="00D35D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215F6C1F" w14:textId="12E6CFC4" w:rsidR="00975C79" w:rsidRPr="00D35D0E" w:rsidRDefault="00D35D0E" w:rsidP="00A564B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de Gestão do Patrimônio Genético</w:t>
      </w:r>
    </w:p>
    <w:sectPr w:rsidR="00975C79" w:rsidRPr="00D35D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C3356" w14:textId="77777777" w:rsidR="005E14C2" w:rsidRDefault="005E14C2" w:rsidP="00405C97">
      <w:pPr>
        <w:spacing w:after="0" w:line="240" w:lineRule="auto"/>
      </w:pPr>
      <w:r>
        <w:separator/>
      </w:r>
    </w:p>
  </w:endnote>
  <w:endnote w:type="continuationSeparator" w:id="0">
    <w:p w14:paraId="0E49340B" w14:textId="77777777" w:rsidR="005E14C2" w:rsidRDefault="005E14C2" w:rsidP="0040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17E96" w14:textId="77777777" w:rsidR="005E14C2" w:rsidRDefault="005E14C2" w:rsidP="00405C97">
      <w:pPr>
        <w:spacing w:after="0" w:line="240" w:lineRule="auto"/>
      </w:pPr>
      <w:r>
        <w:separator/>
      </w:r>
    </w:p>
  </w:footnote>
  <w:footnote w:type="continuationSeparator" w:id="0">
    <w:p w14:paraId="3FA60BE0" w14:textId="77777777" w:rsidR="005E14C2" w:rsidRDefault="005E14C2" w:rsidP="00405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B04"/>
    <w:rsid w:val="000041C3"/>
    <w:rsid w:val="00045636"/>
    <w:rsid w:val="00093C8D"/>
    <w:rsid w:val="000E6BC6"/>
    <w:rsid w:val="001143FD"/>
    <w:rsid w:val="001701C5"/>
    <w:rsid w:val="0018190E"/>
    <w:rsid w:val="001B65D1"/>
    <w:rsid w:val="00226AFE"/>
    <w:rsid w:val="00242D9B"/>
    <w:rsid w:val="002922DE"/>
    <w:rsid w:val="00311091"/>
    <w:rsid w:val="00342B9C"/>
    <w:rsid w:val="003621BD"/>
    <w:rsid w:val="0036376B"/>
    <w:rsid w:val="00373E0E"/>
    <w:rsid w:val="00380E0A"/>
    <w:rsid w:val="003D269D"/>
    <w:rsid w:val="00405C97"/>
    <w:rsid w:val="00414E4E"/>
    <w:rsid w:val="00422C25"/>
    <w:rsid w:val="0043638C"/>
    <w:rsid w:val="004370D6"/>
    <w:rsid w:val="0047592B"/>
    <w:rsid w:val="00496928"/>
    <w:rsid w:val="004F1CBD"/>
    <w:rsid w:val="00585B9E"/>
    <w:rsid w:val="005E14C2"/>
    <w:rsid w:val="00612476"/>
    <w:rsid w:val="006408C6"/>
    <w:rsid w:val="00685F70"/>
    <w:rsid w:val="006A7F0B"/>
    <w:rsid w:val="006C75FD"/>
    <w:rsid w:val="006D7F4D"/>
    <w:rsid w:val="007C0B9F"/>
    <w:rsid w:val="00883D30"/>
    <w:rsid w:val="008C01BA"/>
    <w:rsid w:val="008D1304"/>
    <w:rsid w:val="009242FE"/>
    <w:rsid w:val="00975C79"/>
    <w:rsid w:val="009A3792"/>
    <w:rsid w:val="009E3EC0"/>
    <w:rsid w:val="00A564B2"/>
    <w:rsid w:val="00A81B04"/>
    <w:rsid w:val="00A973A8"/>
    <w:rsid w:val="00AD7EBC"/>
    <w:rsid w:val="00AF6D5D"/>
    <w:rsid w:val="00B417D9"/>
    <w:rsid w:val="00B670FE"/>
    <w:rsid w:val="00BD5D6F"/>
    <w:rsid w:val="00C6238B"/>
    <w:rsid w:val="00CF2E54"/>
    <w:rsid w:val="00D33270"/>
    <w:rsid w:val="00D35D0E"/>
    <w:rsid w:val="00DB5FAE"/>
    <w:rsid w:val="00E6540B"/>
    <w:rsid w:val="00E90B82"/>
    <w:rsid w:val="00ED6C65"/>
    <w:rsid w:val="00F15B48"/>
    <w:rsid w:val="00F27963"/>
    <w:rsid w:val="00F82D1B"/>
    <w:rsid w:val="00FB7551"/>
    <w:rsid w:val="00FD29E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DB98"/>
  <w15:chartTrackingRefBased/>
  <w15:docId w15:val="{425B7C4A-6CB4-4836-A215-DEB406E2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user">
    <w:name w:val="Standard (user)"/>
    <w:rsid w:val="0043638C"/>
    <w:pPr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color w:val="00000A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7F0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8C01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C01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C01B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C01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C01BA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5C97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05C97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05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4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6730-7435-4B61-8B1C-8256981D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1256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Keize Nagamati Junior</dc:creator>
  <cp:keywords/>
  <dc:description/>
  <cp:lastModifiedBy>Manuela da Silva</cp:lastModifiedBy>
  <cp:revision>2</cp:revision>
  <cp:lastPrinted>2017-06-16T20:14:00Z</cp:lastPrinted>
  <dcterms:created xsi:type="dcterms:W3CDTF">2018-09-10T15:53:00Z</dcterms:created>
  <dcterms:modified xsi:type="dcterms:W3CDTF">2018-09-10T15:53:00Z</dcterms:modified>
</cp:coreProperties>
</file>